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E5" w14:textId="1A13592D" w:rsidR="00A21D1E" w:rsidRPr="00A21D1E" w:rsidRDefault="00A21D1E" w:rsidP="00A21D1E">
      <w:pPr>
        <w:rPr>
          <w:b/>
        </w:rPr>
      </w:pPr>
      <w:bookmarkStart w:id="0" w:name="_GoBack"/>
      <w:bookmarkEnd w:id="0"/>
      <w:r w:rsidRPr="00A21D1E">
        <w:rPr>
          <w:b/>
        </w:rPr>
        <w:t xml:space="preserve">YCAP 2017 FALL SYMPOSIUM: </w:t>
      </w:r>
      <w:r w:rsidR="00800F90">
        <w:rPr>
          <w:b/>
        </w:rPr>
        <w:t xml:space="preserve">Panel on </w:t>
      </w:r>
      <w:r w:rsidRPr="00A21D1E">
        <w:rPr>
          <w:b/>
        </w:rPr>
        <w:t>Corruption &amp; Money Laundering Related to International Arbitration</w:t>
      </w:r>
    </w:p>
    <w:p w14:paraId="26A0FC5B" w14:textId="18F10820" w:rsidR="00C03A54" w:rsidRDefault="00C03A54"/>
    <w:p w14:paraId="08FDEEC0" w14:textId="77777777" w:rsidR="00C03A54" w:rsidRDefault="00C03A54"/>
    <w:p w14:paraId="10BCFE5D" w14:textId="385ECA1E" w:rsidR="00C03A54" w:rsidRDefault="005831C7">
      <w:r>
        <w:t xml:space="preserve">Allegations of corruption are a growing concern in the </w:t>
      </w:r>
      <w:r w:rsidR="00262B5E">
        <w:t xml:space="preserve">international </w:t>
      </w:r>
      <w:r>
        <w:t xml:space="preserve">arbitration community. Last November, YCAP </w:t>
      </w:r>
      <w:r w:rsidR="00800F90">
        <w:t xml:space="preserve">and YAF members convened at the </w:t>
      </w:r>
      <w:r>
        <w:t>2017 Fall Symposium to discuss the topic of Corruption and Money Laundering related to international arbitration. In a discussion moderated by Vasuda Sinha (Freshfields Bruckhaus Deringer LLP), panelists Pierre-Olivier Savoie (Savoe Arbitration) and Eric van Eyken (Clyde &amp; Co) discussed recent trends and developments on this topic.</w:t>
      </w:r>
    </w:p>
    <w:p w14:paraId="3D76FB9E" w14:textId="77777777" w:rsidR="00C03A54" w:rsidRDefault="00C03A54"/>
    <w:p w14:paraId="58D04F5C" w14:textId="277CBEC9" w:rsidR="00800F90" w:rsidRDefault="005831C7">
      <w:r>
        <w:t xml:space="preserve">The panel began by assessing some of the ways in which corruption impacts various actors in investment arbitration, including </w:t>
      </w:r>
      <w:r w:rsidR="00650A61">
        <w:t xml:space="preserve">the roles of </w:t>
      </w:r>
      <w:r>
        <w:t xml:space="preserve">tribunals, respondents, and claimants. </w:t>
      </w:r>
      <w:r w:rsidR="00650A61">
        <w:t>As</w:t>
      </w:r>
      <w:r>
        <w:t xml:space="preserve"> allegation</w:t>
      </w:r>
      <w:r w:rsidR="00650A61">
        <w:t>s</w:t>
      </w:r>
      <w:r>
        <w:t xml:space="preserve"> of corruption </w:t>
      </w:r>
      <w:r w:rsidR="00650A61">
        <w:t>are</w:t>
      </w:r>
      <w:r>
        <w:t xml:space="preserve"> in </w:t>
      </w:r>
      <w:r w:rsidR="00650A61">
        <w:t>most cases difficult to prove, w</w:t>
      </w:r>
      <w:r>
        <w:t xml:space="preserve">hat is the </w:t>
      </w:r>
      <w:r w:rsidR="00650A61">
        <w:t xml:space="preserve">appropriate </w:t>
      </w:r>
      <w:r>
        <w:t xml:space="preserve">standard of proof that tribunals should deploy when dealing with allegations of corruption and money laundering? How might tribunals weigh multiple levels and scales of corruption absent a unified standard? </w:t>
      </w:r>
      <w:r>
        <w:rPr>
          <w:i/>
        </w:rPr>
        <w:t>Belokon v. Kyrgyz Republic</w:t>
      </w:r>
      <w:r w:rsidR="00262B5E">
        <w:rPr>
          <w:i/>
        </w:rPr>
        <w:t xml:space="preserve"> </w:t>
      </w:r>
      <w:r w:rsidR="00262B5E">
        <w:t>(“</w:t>
      </w:r>
      <w:r w:rsidR="00262B5E" w:rsidRPr="00262B5E">
        <w:rPr>
          <w:b/>
          <w:i/>
        </w:rPr>
        <w:t>Belokon</w:t>
      </w:r>
      <w:r w:rsidR="00262B5E" w:rsidRPr="00262B5E">
        <w:t>”)</w:t>
      </w:r>
      <w:r>
        <w:rPr>
          <w:i/>
        </w:rPr>
        <w:t xml:space="preserve"> </w:t>
      </w:r>
      <w:r>
        <w:t xml:space="preserve">was raised as an example of a case where tribunals and courts differed on the treatment of corruption allegations. Other notable cases </w:t>
      </w:r>
      <w:r w:rsidR="00800F90">
        <w:t>discussed</w:t>
      </w:r>
      <w:r>
        <w:t xml:space="preserve"> included </w:t>
      </w:r>
      <w:r>
        <w:rPr>
          <w:i/>
        </w:rPr>
        <w:t>Republic of Croatia v. MOL Hungarian Oil and Gas Company Plc</w:t>
      </w:r>
      <w:r>
        <w:t xml:space="preserve">; </w:t>
      </w:r>
      <w:r>
        <w:rPr>
          <w:i/>
        </w:rPr>
        <w:t>Djibouti v. DP World</w:t>
      </w:r>
      <w:r>
        <w:t xml:space="preserve">; and </w:t>
      </w:r>
      <w:r>
        <w:rPr>
          <w:i/>
        </w:rPr>
        <w:t>BSG Resources v. Republic of Guinea</w:t>
      </w:r>
      <w:r>
        <w:t xml:space="preserve">. </w:t>
      </w:r>
    </w:p>
    <w:p w14:paraId="60DC82BB" w14:textId="77777777" w:rsidR="00800F90" w:rsidRDefault="00800F90"/>
    <w:p w14:paraId="3CC3529C" w14:textId="3BBF695A" w:rsidR="00800F90" w:rsidRDefault="005831C7">
      <w:r>
        <w:t xml:space="preserve">Similarly, panelists considered how states </w:t>
      </w:r>
      <w:r w:rsidR="00800F90">
        <w:t xml:space="preserve">may use </w:t>
      </w:r>
      <w:r>
        <w:t xml:space="preserve">corruption allegations as a defence to claims brought against them. Implicit and explicit references to the legality defence were contemplated, with specific questions around whether such a defence </w:t>
      </w:r>
      <w:r w:rsidR="00262B5E">
        <w:t xml:space="preserve">could </w:t>
      </w:r>
      <w:r>
        <w:t xml:space="preserve">be raised </w:t>
      </w:r>
      <w:r w:rsidR="00800F90">
        <w:t xml:space="preserve">at </w:t>
      </w:r>
      <w:r>
        <w:t xml:space="preserve">the merits or the jurisdictional stage of proceedings. The key </w:t>
      </w:r>
      <w:r w:rsidR="00800F90">
        <w:t xml:space="preserve">cases </w:t>
      </w:r>
      <w:r>
        <w:t xml:space="preserve">discussed were </w:t>
      </w:r>
      <w:r>
        <w:rPr>
          <w:i/>
        </w:rPr>
        <w:t>Alasdair Ross Anderson and others v. Republic of Costa Rica</w:t>
      </w:r>
      <w:r>
        <w:t xml:space="preserve">; </w:t>
      </w:r>
      <w:r>
        <w:rPr>
          <w:i/>
        </w:rPr>
        <w:t>World Duty Free Company Limited v. Republic of Kenya</w:t>
      </w:r>
      <w:r>
        <w:t xml:space="preserve">; and </w:t>
      </w:r>
      <w:r>
        <w:rPr>
          <w:i/>
        </w:rPr>
        <w:t>Niko Resources Ltd. v. Bangladesh</w:t>
      </w:r>
      <w:r>
        <w:t xml:space="preserve">. </w:t>
      </w:r>
    </w:p>
    <w:p w14:paraId="6B6C8E0F" w14:textId="77777777" w:rsidR="00800F90" w:rsidRDefault="00800F90"/>
    <w:p w14:paraId="189FC154" w14:textId="4934E2D3" w:rsidR="00C03A54" w:rsidRDefault="005831C7">
      <w:r>
        <w:t>In contrast, strategic and evidentiary requirements were raised as considerations for claimants finding themselves accused of corruption. For instance, an award stemming from a</w:t>
      </w:r>
      <w:r w:rsidR="00650A61">
        <w:t>n</w:t>
      </w:r>
      <w:r>
        <w:t xml:space="preserve"> inherently corrupt relationship is considered in violation of international public policy, and can be set aside, as illustrated in </w:t>
      </w:r>
      <w:r w:rsidRPr="00916C63">
        <w:rPr>
          <w:i/>
        </w:rPr>
        <w:t>Belokon</w:t>
      </w:r>
      <w:r>
        <w:t xml:space="preserve">. </w:t>
      </w:r>
      <w:r>
        <w:rPr>
          <w:i/>
        </w:rPr>
        <w:t>Kim v. Uzbekistan</w:t>
      </w:r>
      <w:r w:rsidR="00650A61">
        <w:rPr>
          <w:i/>
        </w:rPr>
        <w:t xml:space="preserve"> </w:t>
      </w:r>
      <w:r w:rsidR="00650A61">
        <w:t>was another dispute raised under this sub-topic</w:t>
      </w:r>
      <w:r>
        <w:t>.</w:t>
      </w:r>
    </w:p>
    <w:p w14:paraId="43C880B1" w14:textId="77777777" w:rsidR="00C03A54" w:rsidRDefault="00C03A54"/>
    <w:p w14:paraId="7DFDE395" w14:textId="5703B2CD" w:rsidR="00C03A54" w:rsidRDefault="005831C7">
      <w:r>
        <w:t xml:space="preserve">Panelists next </w:t>
      </w:r>
      <w:r w:rsidR="00800F90">
        <w:t>addressed</w:t>
      </w:r>
      <w:r>
        <w:t xml:space="preserve"> how corruption impacts the ethical practices of cou</w:t>
      </w:r>
      <w:r w:rsidR="00650A61">
        <w:t>n</w:t>
      </w:r>
      <w:r>
        <w:t xml:space="preserve">sel and tribunal members. The example of </w:t>
      </w:r>
      <w:r>
        <w:rPr>
          <w:i/>
        </w:rPr>
        <w:t>Foresti v. South Africa</w:t>
      </w:r>
      <w:r>
        <w:t xml:space="preserve"> was raised to highlight the importance of disclosure obligations. The ethical duties for tribunals were also examined by </w:t>
      </w:r>
      <w:r w:rsidR="00262B5E">
        <w:t xml:space="preserve">the </w:t>
      </w:r>
      <w:r>
        <w:t xml:space="preserve">panelists, including what steps tribunals might take </w:t>
      </w:r>
      <w:r>
        <w:rPr>
          <w:i/>
        </w:rPr>
        <w:t>sua sponte</w:t>
      </w:r>
      <w:r>
        <w:t xml:space="preserve"> if they suspect corrupt practices within a relationship giving rise to arbitration. As tribunals are generally reluctant to deal with bribery and corruption issues where they do not form a substantive part of the case before them, it was questioned whether proactive tribunal initiatives to sanction corrupt practices would be curtailed by the principle of </w:t>
      </w:r>
      <w:r>
        <w:rPr>
          <w:i/>
        </w:rPr>
        <w:t>ultra petita</w:t>
      </w:r>
      <w:r>
        <w:t xml:space="preserve">. </w:t>
      </w:r>
      <w:r w:rsidR="00800F90">
        <w:t>The cases discussed</w:t>
      </w:r>
      <w:r>
        <w:t xml:space="preserve"> included </w:t>
      </w:r>
      <w:r>
        <w:rPr>
          <w:i/>
        </w:rPr>
        <w:t xml:space="preserve">Nova Group Investments, B.V. v. Romania </w:t>
      </w:r>
      <w:r>
        <w:t xml:space="preserve">and </w:t>
      </w:r>
      <w:r>
        <w:rPr>
          <w:i/>
        </w:rPr>
        <w:t>Hydro S.r.l. and others v. Republic of Albania</w:t>
      </w:r>
      <w:r>
        <w:t xml:space="preserve">. </w:t>
      </w:r>
      <w:r w:rsidR="00800F90">
        <w:t>The p</w:t>
      </w:r>
      <w:r>
        <w:t xml:space="preserve">anelists also highlighted state initiatives to dissuade bribery and corruption within arbitral tribunals, including legislation in </w:t>
      </w:r>
      <w:r w:rsidR="00916C63">
        <w:t xml:space="preserve">the </w:t>
      </w:r>
      <w:r>
        <w:t>UAE and Peru.</w:t>
      </w:r>
    </w:p>
    <w:p w14:paraId="1010D0CE" w14:textId="77777777" w:rsidR="00C03A54" w:rsidRDefault="00C03A54"/>
    <w:p w14:paraId="7027241B" w14:textId="19793968" w:rsidR="00C03A54" w:rsidRDefault="005831C7" w:rsidP="00F728A8">
      <w:r>
        <w:t xml:space="preserve">The panel concluded with a brief discussion on how issues of corruption risk compromising the finality </w:t>
      </w:r>
      <w:r w:rsidR="00800F90">
        <w:t xml:space="preserve">and enforceability </w:t>
      </w:r>
      <w:r>
        <w:t xml:space="preserve">of </w:t>
      </w:r>
      <w:r w:rsidR="00262B5E">
        <w:t xml:space="preserve">an </w:t>
      </w:r>
      <w:r w:rsidR="00800F90">
        <w:t>arbitral</w:t>
      </w:r>
      <w:r>
        <w:t xml:space="preserve"> award, </w:t>
      </w:r>
      <w:r w:rsidR="00800F90">
        <w:t xml:space="preserve">including </w:t>
      </w:r>
      <w:r>
        <w:t xml:space="preserve">public policy grounds for setting </w:t>
      </w:r>
      <w:r>
        <w:lastRenderedPageBreak/>
        <w:t>aside or refus</w:t>
      </w:r>
      <w:r w:rsidR="00800F90">
        <w:t>ing</w:t>
      </w:r>
      <w:r>
        <w:t xml:space="preserve"> to enforce a corruption-tainted award. As the case in </w:t>
      </w:r>
      <w:r w:rsidRPr="00916C63">
        <w:rPr>
          <w:i/>
        </w:rPr>
        <w:t>Belokon</w:t>
      </w:r>
      <w:r>
        <w:t xml:space="preserve"> illustrates, allegations of corruption within arbitration will constitute </w:t>
      </w:r>
      <w:r w:rsidR="00916C63">
        <w:t>international</w:t>
      </w:r>
      <w:r>
        <w:t xml:space="preserve"> public policy grounds for </w:t>
      </w:r>
      <w:r w:rsidR="00262B5E">
        <w:t>setting aside an award</w:t>
      </w:r>
      <w:r>
        <w:t xml:space="preserve">, though the proper standard of review of an arbitral award when the legality of the award is challenged </w:t>
      </w:r>
      <w:r w:rsidR="00800F90">
        <w:t>based on</w:t>
      </w:r>
      <w:r>
        <w:t xml:space="preserve"> corruption remains subject to debate. Further arbitral and judicial developments in this field will continue to impact the manner in which the arbitration community ultimately tackles corruption and money laundering. </w:t>
      </w:r>
    </w:p>
    <w:p w14:paraId="28A125A2" w14:textId="77777777" w:rsidR="00F728A8" w:rsidRDefault="00F728A8" w:rsidP="00F728A8"/>
    <w:p w14:paraId="492D7B36" w14:textId="77777777" w:rsidR="00F728A8" w:rsidRDefault="00F728A8" w:rsidP="00F728A8">
      <w:r>
        <w:t>Prepared by: Viva Dadwal (McGill University Faculty of Law)</w:t>
      </w:r>
    </w:p>
    <w:sectPr w:rsidR="00F7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E9C0" w14:textId="77777777" w:rsidR="00800F90" w:rsidRDefault="00800F90" w:rsidP="00800F90">
      <w:pPr>
        <w:spacing w:line="240" w:lineRule="auto"/>
      </w:pPr>
      <w:r>
        <w:separator/>
      </w:r>
    </w:p>
  </w:endnote>
  <w:endnote w:type="continuationSeparator" w:id="0">
    <w:p w14:paraId="1CB4AD69" w14:textId="77777777" w:rsidR="00800F90" w:rsidRDefault="00800F90" w:rsidP="00800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ECD7" w14:textId="77777777" w:rsidR="00E212B5" w:rsidRDefault="00E2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FF6A" w14:textId="77777777" w:rsidR="00E212B5" w:rsidRDefault="00E2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566F" w14:textId="77777777" w:rsidR="00E212B5" w:rsidRDefault="00E2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01E4" w14:textId="77777777" w:rsidR="00800F90" w:rsidRDefault="00800F90" w:rsidP="00800F90">
      <w:pPr>
        <w:spacing w:line="240" w:lineRule="auto"/>
      </w:pPr>
      <w:r>
        <w:separator/>
      </w:r>
    </w:p>
  </w:footnote>
  <w:footnote w:type="continuationSeparator" w:id="0">
    <w:p w14:paraId="576A9792" w14:textId="77777777" w:rsidR="00800F90" w:rsidRDefault="00800F90" w:rsidP="00800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CF1D" w14:textId="77777777" w:rsidR="00E212B5" w:rsidRDefault="00E21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58AC" w14:textId="77777777" w:rsidR="00E212B5" w:rsidRDefault="00E21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4EE4" w14:textId="77777777" w:rsidR="00E212B5" w:rsidRDefault="00E21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4D9"/>
    <w:multiLevelType w:val="multilevel"/>
    <w:tmpl w:val="0BB69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81114C"/>
    <w:multiLevelType w:val="multilevel"/>
    <w:tmpl w:val="74AC5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C322A2"/>
    <w:multiLevelType w:val="multilevel"/>
    <w:tmpl w:val="A43AC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334847"/>
    <w:multiLevelType w:val="multilevel"/>
    <w:tmpl w:val="1D2EE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B33EED"/>
    <w:multiLevelType w:val="multilevel"/>
    <w:tmpl w:val="B052D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8B504D6"/>
    <w:multiLevelType w:val="multilevel"/>
    <w:tmpl w:val="7BC00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A54"/>
    <w:rsid w:val="00262B5E"/>
    <w:rsid w:val="00530B9D"/>
    <w:rsid w:val="005831C7"/>
    <w:rsid w:val="00645D05"/>
    <w:rsid w:val="00650A61"/>
    <w:rsid w:val="00797D58"/>
    <w:rsid w:val="00800F90"/>
    <w:rsid w:val="00916C63"/>
    <w:rsid w:val="009B2EA6"/>
    <w:rsid w:val="00A21D1E"/>
    <w:rsid w:val="00A72371"/>
    <w:rsid w:val="00C03A54"/>
    <w:rsid w:val="00D46917"/>
    <w:rsid w:val="00E212B5"/>
    <w:rsid w:val="00F3143D"/>
    <w:rsid w:val="00F728A8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00F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90"/>
  </w:style>
  <w:style w:type="paragraph" w:styleId="Footer">
    <w:name w:val="footer"/>
    <w:basedOn w:val="Normal"/>
    <w:link w:val="FooterChar"/>
    <w:uiPriority w:val="99"/>
    <w:unhideWhenUsed/>
    <w:rsid w:val="00800F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90"/>
  </w:style>
  <w:style w:type="paragraph" w:styleId="BalloonText">
    <w:name w:val="Balloon Text"/>
    <w:basedOn w:val="Normal"/>
    <w:link w:val="BalloonTextChar"/>
    <w:uiPriority w:val="99"/>
    <w:semiHidden/>
    <w:unhideWhenUsed/>
    <w:rsid w:val="0026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00F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90"/>
  </w:style>
  <w:style w:type="paragraph" w:styleId="Footer">
    <w:name w:val="footer"/>
    <w:basedOn w:val="Normal"/>
    <w:link w:val="FooterChar"/>
    <w:uiPriority w:val="99"/>
    <w:unhideWhenUsed/>
    <w:rsid w:val="00800F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90"/>
  </w:style>
  <w:style w:type="paragraph" w:styleId="BalloonText">
    <w:name w:val="Balloon Text"/>
    <w:basedOn w:val="Normal"/>
    <w:link w:val="BalloonTextChar"/>
    <w:uiPriority w:val="99"/>
    <w:semiHidden/>
    <w:unhideWhenUsed/>
    <w:rsid w:val="0026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598</ap:Words>
  <ap:Characters>3439</ap:Characters>
  <ap:Application>Microsoft Office Word</ap:Application>
  <ap:DocSecurity>0</ap:DocSecurity>
  <ap:Lines>56</ap:Lines>
  <ap:Paragraphs>8</ap:Paragraphs>
  <ap:ScaleCrop>false</ap:ScaleCrop>
  <ap:Manager/>
  <ap:Company/>
  <ap:LinksUpToDate>false</ap:LinksUpToDate>
  <ap:CharactersWithSpaces>4032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dcterms:created xsi:type="dcterms:W3CDTF">2018-03-13T17:59:26.6958593Z</dcterms:created>
  <dcterms:modified xsi:type="dcterms:W3CDTF">2018-03-13T17:59:26.6958593Z</dcterms:modified>
</cp:coreProperties>
</file>